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2FDFD">
      <w:pPr>
        <w:rPr>
          <w:rFonts w:hint="default" w:eastAsiaTheme="minorEastAsia"/>
          <w:b w:val="0"/>
          <w:bCs w:val="0"/>
          <w:color w:val="2F5597" w:themeColor="accent1" w:themeShade="BF"/>
          <w:sz w:val="24"/>
          <w:szCs w:val="24"/>
          <w:lang w:val="hr-HR"/>
        </w:rPr>
      </w:pPr>
      <w:r>
        <w:rPr>
          <w:rFonts w:hint="default" w:eastAsiaTheme="minorEastAsia"/>
          <w:b w:val="0"/>
          <w:bCs w:val="0"/>
          <w:color w:val="2F5597" w:themeColor="accent1" w:themeShade="BF"/>
          <w:sz w:val="24"/>
          <w:szCs w:val="24"/>
          <w:lang w:val="hr-HR"/>
        </w:rPr>
        <w:t xml:space="preserve">Izvoditelj kolegija: </w:t>
      </w:r>
      <w:r>
        <w:rPr>
          <w:rFonts w:hint="default" w:eastAsiaTheme="minorEastAsia"/>
          <w:b w:val="0"/>
          <w:bCs w:val="0"/>
          <w:color w:val="auto"/>
          <w:sz w:val="24"/>
          <w:szCs w:val="24"/>
          <w:lang w:val="hr-HR"/>
        </w:rPr>
        <w:t>Dora Korać, mag. psych.</w:t>
      </w:r>
    </w:p>
    <w:p w14:paraId="57592221">
      <w:pPr>
        <w:rPr>
          <w:rFonts w:hint="default" w:eastAsiaTheme="minorEastAsia"/>
          <w:b w:val="0"/>
          <w:bCs w:val="0"/>
          <w:color w:val="2F5597" w:themeColor="accent1" w:themeShade="BF"/>
          <w:sz w:val="24"/>
          <w:szCs w:val="24"/>
          <w:lang w:val="hr-HR"/>
        </w:rPr>
      </w:pPr>
      <w:r>
        <w:rPr>
          <w:rFonts w:hint="default" w:eastAsiaTheme="minorEastAsia"/>
          <w:b w:val="0"/>
          <w:bCs w:val="0"/>
          <w:color w:val="2F5597" w:themeColor="accent1" w:themeShade="BF"/>
          <w:sz w:val="24"/>
          <w:szCs w:val="24"/>
          <w:lang w:val="hr-HR"/>
        </w:rPr>
        <w:t xml:space="preserve">Nositelj kolegija: </w:t>
      </w:r>
      <w:r>
        <w:rPr>
          <w:rFonts w:eastAsiaTheme="minorEastAsia"/>
          <w:b w:val="0"/>
          <w:bCs w:val="0"/>
          <w:sz w:val="24"/>
          <w:szCs w:val="24"/>
        </w:rPr>
        <w:t>izv. prof. dr. sc. Lovorka Brajković</w:t>
      </w:r>
    </w:p>
    <w:p w14:paraId="43452063">
      <w:pPr>
        <w:rPr>
          <w:rFonts w:eastAsiaTheme="minorEastAsia"/>
          <w:b/>
          <w:bCs/>
          <w:color w:val="2F5597" w:themeColor="accent1" w:themeShade="BF"/>
          <w:sz w:val="20"/>
          <w:szCs w:val="20"/>
        </w:rPr>
      </w:pPr>
      <w:bookmarkStart w:id="0" w:name="_GoBack"/>
      <w:bookmarkEnd w:id="0"/>
    </w:p>
    <w:p w14:paraId="2C941EEA">
      <w:pPr>
        <w:rPr>
          <w:rFonts w:eastAsiaTheme="minorEastAsia"/>
          <w:b/>
          <w:bCs/>
          <w:color w:val="2F5597" w:themeColor="accent1" w:themeShade="BF"/>
          <w:sz w:val="25"/>
          <w:szCs w:val="25"/>
        </w:rPr>
      </w:pPr>
      <w:r>
        <w:rPr>
          <w:rFonts w:eastAsiaTheme="minorEastAsia"/>
          <w:b/>
          <w:bCs/>
          <w:color w:val="2F5597" w:themeColor="accent1" w:themeShade="BF"/>
          <w:sz w:val="25"/>
          <w:szCs w:val="25"/>
        </w:rPr>
        <w:t>Konzultacije</w:t>
      </w:r>
    </w:p>
    <w:tbl>
      <w:tblPr>
        <w:tblStyle w:val="7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4023"/>
        <w:gridCol w:w="2168"/>
      </w:tblGrid>
      <w:tr w14:paraId="1416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0" w:type="dxa"/>
            <w:shd w:val="clear" w:color="auto" w:fill="D9E2F3" w:themeFill="accent1" w:themeFillTint="33"/>
          </w:tcPr>
          <w:p w14:paraId="4972C6F5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5"/>
                <w:szCs w:val="25"/>
              </w:rPr>
            </w:pPr>
            <w:r>
              <w:rPr>
                <w:rFonts w:eastAsiaTheme="minorEastAsia"/>
                <w:b/>
                <w:bCs/>
                <w:sz w:val="25"/>
                <w:szCs w:val="25"/>
              </w:rPr>
              <w:t>Ime i prezime nastavnika</w:t>
            </w:r>
          </w:p>
        </w:tc>
        <w:tc>
          <w:tcPr>
            <w:tcW w:w="4023" w:type="dxa"/>
            <w:shd w:val="clear" w:color="auto" w:fill="D9E2F3" w:themeFill="accent1" w:themeFillTint="33"/>
          </w:tcPr>
          <w:p w14:paraId="53477793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5"/>
                <w:szCs w:val="25"/>
              </w:rPr>
            </w:pPr>
            <w:r>
              <w:rPr>
                <w:rFonts w:eastAsiaTheme="minorEastAsia"/>
                <w:b/>
                <w:bCs/>
                <w:sz w:val="25"/>
                <w:szCs w:val="25"/>
              </w:rPr>
              <w:t>Konzultacije</w:t>
            </w:r>
          </w:p>
        </w:tc>
        <w:tc>
          <w:tcPr>
            <w:tcW w:w="2168" w:type="dxa"/>
            <w:shd w:val="clear" w:color="auto" w:fill="D9E2F3" w:themeFill="accent1" w:themeFillTint="33"/>
          </w:tcPr>
          <w:p w14:paraId="77C322AF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5"/>
                <w:szCs w:val="25"/>
              </w:rPr>
            </w:pPr>
            <w:r>
              <w:rPr>
                <w:rFonts w:eastAsiaTheme="minorEastAsia"/>
                <w:b/>
                <w:bCs/>
                <w:sz w:val="25"/>
                <w:szCs w:val="25"/>
              </w:rPr>
              <w:t>E-mail adresa</w:t>
            </w:r>
          </w:p>
        </w:tc>
      </w:tr>
      <w:tr w14:paraId="4839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170" w:type="dxa"/>
            <w:vAlign w:val="center"/>
          </w:tcPr>
          <w:p w14:paraId="3DC91227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izv. prof. dr. sc. Lovorka Brajković</w:t>
            </w:r>
          </w:p>
        </w:tc>
        <w:tc>
          <w:tcPr>
            <w:tcW w:w="4023" w:type="dxa"/>
            <w:vAlign w:val="center"/>
          </w:tcPr>
          <w:p w14:paraId="5D3D0904">
            <w:pPr>
              <w:pStyle w:val="6"/>
              <w:spacing w:after="270" w:line="312" w:lineRule="atLeast"/>
              <w:rPr>
                <w:rFonts w:hint="default" w:asciiTheme="minorHAnsi" w:hAnsiTheme="minorHAnsi" w:eastAsiaTheme="minorEastAsia" w:cstheme="minorBid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4"/>
              </w:rPr>
              <w:t>Petkom od 11:00 do 12:00 sat</w:t>
            </w:r>
            <w:r>
              <w:rPr>
                <w:rFonts w:hint="default" w:asciiTheme="minorHAnsi" w:hAnsiTheme="minorHAnsi" w:eastAsiaTheme="minorEastAsia" w:cstheme="minorBidi"/>
                <w:sz w:val="24"/>
                <w:szCs w:val="24"/>
                <w:lang w:val="hr-HR"/>
              </w:rPr>
              <w:t>i, uz prethodnu najavu putem e-maila</w:t>
            </w:r>
          </w:p>
        </w:tc>
        <w:tc>
          <w:tcPr>
            <w:tcW w:w="2168" w:type="dxa"/>
            <w:vAlign w:val="center"/>
          </w:tcPr>
          <w:p w14:paraId="17C3A90D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lbrajkov1@fhs.hr</w:t>
            </w:r>
          </w:p>
        </w:tc>
      </w:tr>
      <w:tr w14:paraId="4028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70" w:type="dxa"/>
            <w:vAlign w:val="center"/>
          </w:tcPr>
          <w:p w14:paraId="5201B79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Dora Korać, mag. psych.</w:t>
            </w:r>
          </w:p>
        </w:tc>
        <w:tc>
          <w:tcPr>
            <w:tcW w:w="4023" w:type="dxa"/>
            <w:vAlign w:val="center"/>
          </w:tcPr>
          <w:p w14:paraId="26ECB7E1">
            <w:pPr>
              <w:spacing w:after="0" w:line="240" w:lineRule="auto"/>
              <w:rPr>
                <w:rFonts w:hint="default" w:eastAsiaTheme="minorEastAsia"/>
                <w:sz w:val="24"/>
                <w:szCs w:val="24"/>
                <w:lang w:val="hr-HR"/>
              </w:rPr>
            </w:pPr>
            <w:r>
              <w:rPr>
                <w:rFonts w:eastAsiaTheme="minorEastAsia"/>
                <w:sz w:val="24"/>
                <w:szCs w:val="24"/>
              </w:rPr>
              <w:t>Četvrtkom od 11:00 do 12:00 sati</w:t>
            </w:r>
            <w:r>
              <w:rPr>
                <w:rFonts w:hint="default" w:eastAsiaTheme="minorEastAsia"/>
                <w:sz w:val="24"/>
                <w:szCs w:val="24"/>
                <w:lang w:val="hr-HR"/>
              </w:rPr>
              <w:t xml:space="preserve">, </w:t>
            </w:r>
            <w:r>
              <w:rPr>
                <w:rFonts w:hint="default" w:asciiTheme="minorHAnsi" w:hAnsiTheme="minorHAnsi" w:eastAsiaTheme="minorEastAsia" w:cstheme="minorBidi"/>
                <w:sz w:val="24"/>
                <w:szCs w:val="24"/>
                <w:lang w:val="hr-HR"/>
              </w:rPr>
              <w:t>uz prethodnu najavu putem e-maila</w:t>
            </w:r>
          </w:p>
        </w:tc>
        <w:tc>
          <w:tcPr>
            <w:tcW w:w="2168" w:type="dxa"/>
            <w:vAlign w:val="center"/>
          </w:tcPr>
          <w:p w14:paraId="62570A07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dkorac@fhs.hr</w:t>
            </w:r>
          </w:p>
        </w:tc>
      </w:tr>
    </w:tbl>
    <w:p w14:paraId="44300EB7">
      <w:pPr>
        <w:rPr>
          <w:rFonts w:eastAsiaTheme="minorEastAsia"/>
          <w:b/>
          <w:bCs/>
          <w:sz w:val="20"/>
          <w:szCs w:val="20"/>
        </w:rPr>
      </w:pPr>
    </w:p>
    <w:p w14:paraId="2D3612D2">
      <w:pPr>
        <w:rPr>
          <w:rFonts w:hint="default" w:eastAsiaTheme="minorEastAsia"/>
          <w:b/>
          <w:bCs/>
          <w:i/>
          <w:iCs/>
          <w:color w:val="2F5597" w:themeColor="accent1" w:themeShade="BF"/>
          <w:sz w:val="24"/>
          <w:szCs w:val="24"/>
          <w:lang w:val="hr-HR"/>
        </w:rPr>
      </w:pPr>
      <w:r>
        <w:rPr>
          <w:rFonts w:hint="default" w:eastAsiaTheme="minorEastAsia"/>
          <w:b/>
          <w:bCs/>
          <w:i/>
          <w:iCs/>
          <w:color w:val="2F5597" w:themeColor="accent1" w:themeShade="BF"/>
          <w:sz w:val="24"/>
          <w:szCs w:val="24"/>
          <w:lang w:val="hr-HR"/>
        </w:rPr>
        <w:t>Raspored tema po terminima:</w:t>
      </w:r>
    </w:p>
    <w:p w14:paraId="49D6D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after="0" w:line="260" w:lineRule="auto"/>
        <w:textAlignment w:val="auto"/>
        <w:rPr>
          <w:rFonts w:hint="default" w:eastAsiaTheme="minorEastAsia"/>
          <w:b w:val="0"/>
          <w:bCs w:val="0"/>
          <w:sz w:val="24"/>
          <w:szCs w:val="24"/>
          <w:u w:val="single"/>
          <w:lang w:val="hr-HR"/>
        </w:rPr>
      </w:pPr>
      <w:r>
        <w:rPr>
          <w:rFonts w:eastAsiaTheme="minorEastAsia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default" w:eastAsiaTheme="minorEastAsia"/>
          <w:b w:val="0"/>
          <w:bCs w:val="0"/>
          <w:sz w:val="24"/>
          <w:szCs w:val="24"/>
          <w:u w:val="single"/>
          <w:lang w:val="hr-HR"/>
        </w:rPr>
        <w:t>07</w:t>
      </w:r>
      <w:r>
        <w:rPr>
          <w:rFonts w:eastAsiaTheme="minorEastAsia"/>
          <w:b w:val="0"/>
          <w:bCs w:val="0"/>
          <w:sz w:val="24"/>
          <w:szCs w:val="24"/>
          <w:u w:val="single"/>
        </w:rPr>
        <w:t>. 11. 202</w:t>
      </w:r>
      <w:r>
        <w:rPr>
          <w:rFonts w:hint="default" w:eastAsiaTheme="minorEastAsia"/>
          <w:b w:val="0"/>
          <w:bCs w:val="0"/>
          <w:sz w:val="24"/>
          <w:szCs w:val="24"/>
          <w:u w:val="single"/>
          <w:lang w:val="hr-HR"/>
        </w:rPr>
        <w:t>5</w:t>
      </w:r>
      <w:r>
        <w:rPr>
          <w:rFonts w:eastAsiaTheme="minorEastAsia"/>
          <w:b w:val="0"/>
          <w:bCs w:val="0"/>
          <w:sz w:val="24"/>
          <w:szCs w:val="24"/>
          <w:u w:val="single"/>
        </w:rPr>
        <w:t>.</w:t>
      </w:r>
      <w:r>
        <w:rPr>
          <w:rFonts w:hint="default" w:eastAsiaTheme="minorEastAsia"/>
          <w:b w:val="0"/>
          <w:bCs w:val="0"/>
          <w:sz w:val="24"/>
          <w:szCs w:val="24"/>
          <w:u w:val="single"/>
          <w:lang w:val="hr-HR"/>
        </w:rPr>
        <w:t>,</w:t>
      </w:r>
      <w:r>
        <w:rPr>
          <w:rFonts w:eastAsiaTheme="minorEastAsia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default" w:eastAsiaTheme="minorEastAsia"/>
          <w:b w:val="0"/>
          <w:bCs w:val="0"/>
          <w:sz w:val="24"/>
          <w:szCs w:val="24"/>
          <w:u w:val="single"/>
          <w:lang w:val="hr-HR"/>
        </w:rPr>
        <w:t>petak</w:t>
      </w:r>
    </w:p>
    <w:p w14:paraId="5CF750D1">
      <w:pPr>
        <w:pStyle w:val="10"/>
        <w:numPr>
          <w:ilvl w:val="0"/>
          <w:numId w:val="1"/>
        </w:numPr>
        <w:spacing w:before="100" w:beforeAutospacing="1" w:after="40" w:line="288" w:lineRule="auto"/>
        <w:ind w:left="357" w:hanging="357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  <w:t>Uvod u pedagošku psihologiju: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što je pedagoška psihologija, povijest pedagoške psihologije i njezini ciljevi; uloga u obrazovanju i radu nastavnika</w:t>
      </w:r>
    </w:p>
    <w:p w14:paraId="16E43D44">
      <w:pPr>
        <w:pStyle w:val="10"/>
        <w:numPr>
          <w:ilvl w:val="0"/>
          <w:numId w:val="1"/>
        </w:numPr>
        <w:spacing w:before="100" w:beforeAutospacing="1" w:after="40" w:line="288" w:lineRule="auto"/>
        <w:ind w:left="357" w:hanging="357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  <w:t>Učenje i poučavanje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- bihevioristički pristupi: klasično i operantno uvjetovanje, generalizacija i diskriminacija podražaja, pozitivna i negativna potkrepljenja, nagrade i kazne, primjena u praksi</w:t>
      </w:r>
    </w:p>
    <w:p w14:paraId="4D0F1D4A">
      <w:pPr>
        <w:pStyle w:val="10"/>
        <w:numPr>
          <w:ilvl w:val="0"/>
          <w:numId w:val="1"/>
        </w:numPr>
        <w:spacing w:before="100" w:beforeAutospacing="1" w:after="40" w:line="288" w:lineRule="auto"/>
        <w:ind w:left="357" w:hanging="357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  <w:t>Učenje i poučavanje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– teorije socijalnog učenja: opservacijsko učenje - modeliranje i vikarijsko učenje, primjena u školskoj praksi</w:t>
      </w:r>
    </w:p>
    <w:p w14:paraId="57E37394">
      <w:pPr>
        <w:pStyle w:val="10"/>
        <w:numPr>
          <w:ilvl w:val="0"/>
          <w:numId w:val="1"/>
        </w:numPr>
        <w:spacing w:before="100" w:beforeAutospacing="1" w:after="40" w:line="288" w:lineRule="auto"/>
        <w:ind w:left="357" w:hanging="357"/>
        <w:contextualSpacing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  <w:t>Učenje i poučavanje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- kognitivistički pristupi: teorija obrade informacija, percepcija i pažnja, kratkoročno (radno) pamćenje, pohrana informacija u dugoročnom pamćenju, struktura znanja u dugoročnom pamćenju</w:t>
      </w:r>
    </w:p>
    <w:p w14:paraId="04FDCA0C">
      <w:pPr>
        <w:rPr>
          <w:rFonts w:eastAsiaTheme="minorEastAsia"/>
          <w:sz w:val="24"/>
          <w:szCs w:val="24"/>
        </w:rPr>
      </w:pPr>
    </w:p>
    <w:p w14:paraId="02E837F5">
      <w:pPr>
        <w:pStyle w:val="10"/>
        <w:spacing w:before="60" w:after="80" w:line="288" w:lineRule="auto"/>
        <w:ind w:left="0"/>
        <w:contextualSpacing w:val="0"/>
        <w:rPr>
          <w:rFonts w:hint="default" w:asciiTheme="minorHAnsi" w:hAnsiTheme="minorHAnsi" w:eastAsiaTheme="minorEastAsia"/>
          <w:b w:val="0"/>
          <w:bCs w:val="0"/>
          <w:sz w:val="24"/>
          <w:szCs w:val="24"/>
          <w:u w:val="single"/>
          <w:lang w:val="hr-HR"/>
        </w:rPr>
      </w:pPr>
      <w:r>
        <w:rPr>
          <w:rFonts w:hint="default" w:asciiTheme="minorHAnsi" w:hAnsiTheme="minorHAnsi" w:eastAsiaTheme="minorEastAsia"/>
          <w:b w:val="0"/>
          <w:bCs w:val="0"/>
          <w:sz w:val="24"/>
          <w:szCs w:val="24"/>
          <w:u w:val="single"/>
          <w:lang w:val="hr-HR"/>
        </w:rPr>
        <w:t>08</w:t>
      </w:r>
      <w:r>
        <w:rPr>
          <w:rFonts w:asciiTheme="minorHAnsi" w:hAnsiTheme="minorHAnsi" w:eastAsiaTheme="minorEastAsia"/>
          <w:b w:val="0"/>
          <w:bCs w:val="0"/>
          <w:sz w:val="24"/>
          <w:szCs w:val="24"/>
          <w:u w:val="single"/>
        </w:rPr>
        <w:t>. 11. 202</w:t>
      </w:r>
      <w:r>
        <w:rPr>
          <w:rFonts w:hint="default" w:asciiTheme="minorHAnsi" w:hAnsiTheme="minorHAnsi" w:eastAsiaTheme="minorEastAsia"/>
          <w:b w:val="0"/>
          <w:bCs w:val="0"/>
          <w:sz w:val="24"/>
          <w:szCs w:val="24"/>
          <w:u w:val="single"/>
          <w:lang w:val="hr-HR"/>
        </w:rPr>
        <w:t>5</w:t>
      </w:r>
      <w:r>
        <w:rPr>
          <w:rFonts w:asciiTheme="minorHAnsi" w:hAnsiTheme="minorHAnsi" w:eastAsiaTheme="minorEastAsia"/>
          <w:b w:val="0"/>
          <w:bCs w:val="0"/>
          <w:sz w:val="24"/>
          <w:szCs w:val="24"/>
          <w:u w:val="single"/>
        </w:rPr>
        <w:t>.</w:t>
      </w:r>
      <w:r>
        <w:rPr>
          <w:rFonts w:hint="default" w:asciiTheme="minorHAnsi" w:hAnsiTheme="minorHAnsi" w:eastAsiaTheme="minorEastAsia"/>
          <w:b w:val="0"/>
          <w:bCs w:val="0"/>
          <w:sz w:val="24"/>
          <w:szCs w:val="24"/>
          <w:u w:val="single"/>
          <w:lang w:val="hr-HR"/>
        </w:rPr>
        <w:t>,</w:t>
      </w:r>
      <w:r>
        <w:rPr>
          <w:rFonts w:asciiTheme="minorHAnsi" w:hAnsiTheme="minorHAnsi" w:eastAsiaTheme="minorEastAsia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default" w:asciiTheme="minorHAnsi" w:hAnsiTheme="minorHAnsi" w:eastAsiaTheme="minorEastAsia"/>
          <w:b w:val="0"/>
          <w:bCs w:val="0"/>
          <w:sz w:val="24"/>
          <w:szCs w:val="24"/>
          <w:u w:val="single"/>
          <w:lang w:val="hr-HR"/>
        </w:rPr>
        <w:t>subota</w:t>
      </w:r>
    </w:p>
    <w:p w14:paraId="62968521">
      <w:pPr>
        <w:pStyle w:val="10"/>
        <w:numPr>
          <w:ilvl w:val="0"/>
          <w:numId w:val="2"/>
        </w:numPr>
        <w:spacing w:after="60" w:line="288" w:lineRule="auto"/>
        <w:rPr>
          <w:rFonts w:asciiTheme="minorHAnsi" w:hAnsiTheme="minorHAnsi" w:eastAsiaTheme="minorEastAsia"/>
          <w:sz w:val="24"/>
          <w:szCs w:val="24"/>
        </w:rPr>
      </w:pPr>
      <w:r>
        <w:rPr>
          <w:rFonts w:asciiTheme="minorHAnsi" w:hAnsiTheme="minorHAnsi" w:eastAsiaTheme="minorEastAsia"/>
          <w:i/>
          <w:iCs/>
          <w:sz w:val="24"/>
          <w:szCs w:val="24"/>
        </w:rPr>
        <w:t>Individualne razlike</w:t>
      </w:r>
      <w:r>
        <w:rPr>
          <w:rFonts w:asciiTheme="minorHAnsi" w:hAnsiTheme="minorHAnsi" w:eastAsiaTheme="minorEastAsia"/>
          <w:sz w:val="24"/>
          <w:szCs w:val="24"/>
        </w:rPr>
        <w:t>: definiranje inteligencije, teorijski pristupi, procjena  inteligencije, povezanost s učenjem i poučavanjem</w:t>
      </w:r>
    </w:p>
    <w:p w14:paraId="7D824ACA">
      <w:pPr>
        <w:pStyle w:val="10"/>
        <w:numPr>
          <w:ilvl w:val="0"/>
          <w:numId w:val="2"/>
        </w:numPr>
        <w:spacing w:after="60" w:line="288" w:lineRule="auto"/>
        <w:ind w:left="357" w:hanging="357"/>
        <w:jc w:val="both"/>
        <w:rPr>
          <w:rFonts w:asciiTheme="minorHAnsi" w:hAnsiTheme="minorHAnsi" w:eastAsiaTheme="minorEastAsia"/>
          <w:sz w:val="24"/>
          <w:szCs w:val="24"/>
        </w:rPr>
      </w:pPr>
      <w:r>
        <w:rPr>
          <w:rFonts w:asciiTheme="minorHAnsi" w:hAnsiTheme="minorHAnsi" w:eastAsiaTheme="minorEastAsia"/>
          <w:i/>
          <w:iCs/>
          <w:sz w:val="24"/>
          <w:szCs w:val="24"/>
        </w:rPr>
        <w:t>Učenici s posebnim potrebama</w:t>
      </w:r>
      <w:r>
        <w:rPr>
          <w:rFonts w:asciiTheme="minorHAnsi" w:hAnsiTheme="minorHAnsi" w:eastAsiaTheme="minorEastAsia"/>
          <w:sz w:val="24"/>
          <w:szCs w:val="24"/>
        </w:rPr>
        <w:t>: učenici s teškoćama u razvoju, učenici s teškoćama u  učenju, darovitost</w:t>
      </w:r>
    </w:p>
    <w:p w14:paraId="0DBD20D3">
      <w:pPr>
        <w:pStyle w:val="10"/>
        <w:spacing w:after="60" w:line="288" w:lineRule="auto"/>
        <w:ind w:left="357"/>
        <w:jc w:val="both"/>
        <w:rPr>
          <w:rFonts w:asciiTheme="minorHAnsi" w:hAnsiTheme="minorHAnsi" w:eastAsiaTheme="minorEastAsia"/>
          <w:sz w:val="24"/>
          <w:szCs w:val="24"/>
        </w:rPr>
      </w:pPr>
    </w:p>
    <w:p w14:paraId="6EF88445">
      <w:pPr>
        <w:spacing w:after="120"/>
        <w:rPr>
          <w:rFonts w:hint="default" w:eastAsiaTheme="minorEastAsia"/>
          <w:b w:val="0"/>
          <w:bCs w:val="0"/>
          <w:sz w:val="24"/>
          <w:szCs w:val="24"/>
          <w:u w:val="single"/>
          <w:lang w:val="hr-HR"/>
        </w:rPr>
      </w:pPr>
      <w:r>
        <w:rPr>
          <w:rFonts w:hint="default" w:eastAsiaTheme="minorEastAsia"/>
          <w:b w:val="0"/>
          <w:bCs w:val="0"/>
          <w:sz w:val="24"/>
          <w:szCs w:val="24"/>
          <w:u w:val="single"/>
          <w:lang w:val="hr-HR"/>
        </w:rPr>
        <w:t>14</w:t>
      </w:r>
      <w:r>
        <w:rPr>
          <w:rFonts w:eastAsiaTheme="minorEastAsia"/>
          <w:b w:val="0"/>
          <w:bCs w:val="0"/>
          <w:sz w:val="24"/>
          <w:szCs w:val="24"/>
          <w:u w:val="single"/>
        </w:rPr>
        <w:t>. 11. 202</w:t>
      </w:r>
      <w:r>
        <w:rPr>
          <w:rFonts w:hint="default" w:eastAsiaTheme="minorEastAsia"/>
          <w:b w:val="0"/>
          <w:bCs w:val="0"/>
          <w:sz w:val="24"/>
          <w:szCs w:val="24"/>
          <w:u w:val="single"/>
          <w:lang w:val="hr-HR"/>
        </w:rPr>
        <w:t>5</w:t>
      </w:r>
      <w:r>
        <w:rPr>
          <w:rFonts w:eastAsiaTheme="minorEastAsia"/>
          <w:b w:val="0"/>
          <w:bCs w:val="0"/>
          <w:sz w:val="24"/>
          <w:szCs w:val="24"/>
          <w:u w:val="single"/>
        </w:rPr>
        <w:t xml:space="preserve">. </w:t>
      </w:r>
      <w:r>
        <w:rPr>
          <w:rFonts w:hint="default" w:eastAsiaTheme="minorEastAsia"/>
          <w:b w:val="0"/>
          <w:bCs w:val="0"/>
          <w:sz w:val="24"/>
          <w:szCs w:val="24"/>
          <w:u w:val="single"/>
          <w:lang w:val="hr-HR"/>
        </w:rPr>
        <w:t>petak</w:t>
      </w:r>
    </w:p>
    <w:p w14:paraId="7C993311">
      <w:pPr>
        <w:pStyle w:val="6"/>
        <w:numPr>
          <w:ilvl w:val="0"/>
          <w:numId w:val="3"/>
        </w:numPr>
        <w:spacing w:after="60" w:afterAutospacing="0" w:line="288" w:lineRule="auto"/>
        <w:ind w:left="357" w:hanging="357"/>
        <w:jc w:val="both"/>
        <w:rPr>
          <w:color w:val="000000"/>
        </w:rPr>
      </w:pPr>
      <w:r>
        <w:rPr>
          <w:rFonts w:asciiTheme="minorHAnsi" w:hAnsiTheme="minorHAnsi" w:eastAsiaTheme="minorEastAsia" w:cstheme="minorBidi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i/>
          <w:iCs/>
          <w:color w:val="000000"/>
        </w:rPr>
        <w:t>ršnjačko nasilje</w:t>
      </w:r>
      <w:r>
        <w:rPr>
          <w:color w:val="000000"/>
        </w:rPr>
        <w:t>: definiranje, raširenost i oblici nasilja, nasilje ili sukob, mogući uzroci nasilja, kako prepoznati nasilnika, posljedice nasilničkog ponašanja i zastrašivanja, elektroničko nasilje, razlika elektroničkog i neposrednog nasilja, što možemo učiniti?</w:t>
      </w:r>
    </w:p>
    <w:p w14:paraId="1C491A93">
      <w:pPr>
        <w:pStyle w:val="6"/>
        <w:numPr>
          <w:ilvl w:val="0"/>
          <w:numId w:val="3"/>
        </w:numPr>
        <w:spacing w:after="60" w:afterAutospacing="0" w:line="288" w:lineRule="auto"/>
        <w:ind w:left="357" w:hanging="357"/>
        <w:jc w:val="both"/>
        <w:rPr>
          <w:color w:val="000000"/>
        </w:rPr>
      </w:pPr>
      <w:r>
        <w:rPr>
          <w:rFonts w:hint="default"/>
          <w:i/>
          <w:iCs/>
          <w:color w:val="000000"/>
          <w:lang w:val="hr-HR"/>
        </w:rPr>
        <w:t>M</w:t>
      </w:r>
      <w:r>
        <w:rPr>
          <w:i/>
          <w:iCs/>
          <w:color w:val="000000"/>
        </w:rPr>
        <w:t>otivacija:</w:t>
      </w:r>
      <w:r>
        <w:rPr>
          <w:color w:val="000000"/>
        </w:rPr>
        <w:t xml:space="preserve"> osnovne teorije motivacije, kako motivirati?, uloga u obrazovnom procesu; intrinzična i ekstrinzična motivacija</w:t>
      </w:r>
    </w:p>
    <w:p w14:paraId="3B8D3592">
      <w:pPr>
        <w:pStyle w:val="6"/>
        <w:numPr>
          <w:ilvl w:val="0"/>
          <w:numId w:val="3"/>
        </w:numPr>
        <w:spacing w:after="60" w:afterAutospacing="0" w:line="288" w:lineRule="auto"/>
        <w:ind w:left="357" w:hanging="357"/>
        <w:jc w:val="both"/>
        <w:rPr>
          <w:color w:val="000000"/>
        </w:rPr>
      </w:pPr>
      <w:r>
        <w:rPr>
          <w:rFonts w:hint="default"/>
          <w:i/>
          <w:iCs/>
          <w:color w:val="000000"/>
          <w:lang w:val="hr-HR"/>
        </w:rPr>
        <w:t>O</w:t>
      </w:r>
      <w:r>
        <w:rPr>
          <w:i/>
          <w:iCs/>
          <w:color w:val="000000"/>
        </w:rPr>
        <w:t>cjene i ocjenjivanje</w:t>
      </w:r>
      <w:r>
        <w:rPr>
          <w:color w:val="000000"/>
        </w:rPr>
        <w:t>: učinkovito poučavanje, usmene i pismene provjere znanja</w:t>
      </w:r>
    </w:p>
    <w:p w14:paraId="081AA2DF">
      <w:pPr>
        <w:pStyle w:val="6"/>
        <w:numPr>
          <w:ilvl w:val="0"/>
          <w:numId w:val="3"/>
        </w:numPr>
        <w:spacing w:after="60" w:afterAutospacing="0" w:line="288" w:lineRule="auto"/>
        <w:ind w:left="357" w:hanging="357"/>
        <w:jc w:val="both"/>
        <w:rPr>
          <w:rFonts w:asciiTheme="minorHAnsi" w:hAnsiTheme="minorHAnsi" w:eastAsiaTheme="minorEastAsia" w:cstheme="minorBidi"/>
          <w:color w:val="000000"/>
        </w:rPr>
      </w:pPr>
      <w:r>
        <w:rPr>
          <w:rFonts w:hint="default"/>
          <w:i/>
          <w:iCs/>
          <w:color w:val="000000"/>
          <w:lang w:val="hr-HR"/>
        </w:rPr>
        <w:t>U</w:t>
      </w:r>
      <w:r>
        <w:rPr>
          <w:i/>
          <w:iCs/>
          <w:color w:val="000000"/>
        </w:rPr>
        <w:t>pravljanje razredom:</w:t>
      </w:r>
      <w:r>
        <w:rPr>
          <w:color w:val="000000"/>
        </w:rPr>
        <w:t xml:space="preserve"> što čini dobrog nastavnika?, stilovi upravljanja razredom</w:t>
      </w:r>
    </w:p>
    <w:p w14:paraId="0C70D9F3">
      <w:pPr>
        <w:spacing w:after="240"/>
        <w:rPr>
          <w:rFonts w:eastAsiaTheme="minorEastAsia"/>
        </w:rPr>
      </w:pPr>
    </w:p>
    <w:p w14:paraId="01A4C85A">
      <w:pPr>
        <w:rPr>
          <w:rFonts w:eastAsiaTheme="minorEastAsia"/>
          <w:b/>
          <w:bCs/>
          <w:i/>
          <w:iCs/>
          <w:color w:val="AB2811"/>
          <w:sz w:val="25"/>
          <w:szCs w:val="25"/>
        </w:rPr>
      </w:pPr>
      <w:r>
        <w:rPr>
          <w:rFonts w:eastAsiaTheme="minorEastAsia"/>
          <w:b/>
          <w:bCs/>
          <w:i/>
          <w:iCs/>
          <w:color w:val="AB2811"/>
          <w:sz w:val="25"/>
          <w:szCs w:val="25"/>
        </w:rPr>
        <w:t>Ispitni rok</w:t>
      </w:r>
    </w:p>
    <w:tbl>
      <w:tblPr>
        <w:tblStyle w:val="3"/>
        <w:tblW w:w="439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2781"/>
      </w:tblGrid>
      <w:tr w14:paraId="2C18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618" w:type="dxa"/>
            <w:vAlign w:val="center"/>
          </w:tcPr>
          <w:p w14:paraId="0C8D908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1. ispitni rok </w:t>
            </w:r>
          </w:p>
        </w:tc>
        <w:tc>
          <w:tcPr>
            <w:tcW w:w="2781" w:type="dxa"/>
            <w:vAlign w:val="center"/>
          </w:tcPr>
          <w:p w14:paraId="4341EF90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eastAsiaTheme="minorEastAsia"/>
                <w:b/>
                <w:bCs/>
                <w:sz w:val="24"/>
                <w:szCs w:val="24"/>
                <w:lang w:val="hr-HR"/>
              </w:rPr>
              <w:t>19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.1</w:t>
            </w:r>
            <w:r>
              <w:rPr>
                <w:rFonts w:hint="default" w:eastAsiaTheme="minorEastAsia"/>
                <w:b/>
                <w:bCs/>
                <w:sz w:val="24"/>
                <w:szCs w:val="24"/>
                <w:lang w:val="hr-HR"/>
              </w:rPr>
              <w:t>1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.202</w:t>
            </w:r>
            <w:r>
              <w:rPr>
                <w:rFonts w:hint="default" w:eastAsiaTheme="minorEastAsia"/>
                <w:b/>
                <w:bCs/>
                <w:sz w:val="24"/>
                <w:szCs w:val="24"/>
                <w:lang w:val="hr-HR"/>
              </w:rPr>
              <w:t>5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</w:p>
          <w:p w14:paraId="192D811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Vrijeme i način polaganja po dogovoru</w:t>
            </w:r>
          </w:p>
        </w:tc>
      </w:tr>
      <w:tr w14:paraId="1067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618" w:type="dxa"/>
            <w:vAlign w:val="center"/>
          </w:tcPr>
          <w:p w14:paraId="2329FE9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 ispitni rok</w:t>
            </w:r>
          </w:p>
        </w:tc>
        <w:tc>
          <w:tcPr>
            <w:tcW w:w="2781" w:type="dxa"/>
            <w:vAlign w:val="center"/>
          </w:tcPr>
          <w:p w14:paraId="3BA1016C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eastAsiaTheme="minorEastAsia"/>
                <w:b/>
                <w:bCs/>
                <w:sz w:val="24"/>
                <w:szCs w:val="24"/>
                <w:lang w:val="hr-HR"/>
              </w:rPr>
              <w:t>26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.1</w:t>
            </w:r>
            <w:r>
              <w:rPr>
                <w:rFonts w:hint="default" w:eastAsiaTheme="minorEastAsia"/>
                <w:b/>
                <w:bCs/>
                <w:sz w:val="24"/>
                <w:szCs w:val="24"/>
                <w:lang w:val="hr-HR"/>
              </w:rPr>
              <w:t>1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.202</w:t>
            </w:r>
            <w:r>
              <w:rPr>
                <w:rFonts w:hint="default" w:eastAsiaTheme="minorEastAsia"/>
                <w:b/>
                <w:bCs/>
                <w:sz w:val="24"/>
                <w:szCs w:val="24"/>
                <w:lang w:val="hr-HR"/>
              </w:rPr>
              <w:t>5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</w:p>
          <w:p w14:paraId="0360D71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Vrijeme i način polaganja po dogovoru</w:t>
            </w:r>
          </w:p>
        </w:tc>
      </w:tr>
      <w:tr w14:paraId="0140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618" w:type="dxa"/>
            <w:vAlign w:val="center"/>
          </w:tcPr>
          <w:p w14:paraId="6C73B27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3. ispitni rok</w:t>
            </w:r>
          </w:p>
        </w:tc>
        <w:tc>
          <w:tcPr>
            <w:tcW w:w="2781" w:type="dxa"/>
            <w:vAlign w:val="center"/>
          </w:tcPr>
          <w:p w14:paraId="1F24D7D9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eastAsiaTheme="minorEastAsia"/>
                <w:b/>
                <w:bCs/>
                <w:sz w:val="24"/>
                <w:szCs w:val="24"/>
                <w:lang w:val="hr-HR"/>
              </w:rPr>
              <w:t>03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.12.202</w:t>
            </w:r>
            <w:r>
              <w:rPr>
                <w:rFonts w:hint="default" w:eastAsiaTheme="minorEastAsia"/>
                <w:b/>
                <w:bCs/>
                <w:sz w:val="24"/>
                <w:szCs w:val="24"/>
                <w:lang w:val="hr-HR"/>
              </w:rPr>
              <w:t>5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</w:p>
          <w:p w14:paraId="14932E5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Vrijeme i način polaganja po dogovoru</w:t>
            </w:r>
          </w:p>
        </w:tc>
      </w:tr>
    </w:tbl>
    <w:p w14:paraId="6AC5BAF4">
      <w:pPr>
        <w:rPr>
          <w:rFonts w:eastAsiaTheme="minorEastAsia"/>
          <w:sz w:val="21"/>
          <w:szCs w:val="21"/>
        </w:rPr>
      </w:pPr>
    </w:p>
    <w:p w14:paraId="6FBCF52E">
      <w:pPr>
        <w:rPr>
          <w:rFonts w:eastAsiaTheme="minorEastAsia"/>
          <w:sz w:val="18"/>
          <w:szCs w:val="18"/>
        </w:rPr>
      </w:pPr>
    </w:p>
    <w:p w14:paraId="7545BE07">
      <w:pPr>
        <w:rPr>
          <w:rFonts w:eastAsiaTheme="minorEastAsia"/>
          <w:b/>
          <w:bCs/>
          <w:i/>
          <w:iCs/>
          <w:color w:val="2F5597" w:themeColor="accent1" w:themeShade="BF"/>
          <w:sz w:val="25"/>
          <w:szCs w:val="25"/>
        </w:rPr>
      </w:pPr>
      <w:r>
        <w:rPr>
          <w:rFonts w:eastAsiaTheme="minorEastAsia"/>
          <w:b/>
          <w:bCs/>
          <w:i/>
          <w:iCs/>
          <w:color w:val="2F5597" w:themeColor="accent1" w:themeShade="BF"/>
          <w:sz w:val="25"/>
          <w:szCs w:val="25"/>
        </w:rPr>
        <w:t>Literatura:</w:t>
      </w:r>
    </w:p>
    <w:p w14:paraId="2AC893F3">
      <w:pPr>
        <w:pStyle w:val="10"/>
        <w:numPr>
          <w:ilvl w:val="0"/>
          <w:numId w:val="4"/>
        </w:numPr>
        <w:spacing w:after="0"/>
        <w:ind w:left="294" w:leftChars="0" w:hanging="357"/>
        <w:rPr>
          <w:rFonts w:asciiTheme="minorHAnsi" w:hAnsiTheme="minorHAnsi" w:eastAsiaTheme="minorEastAsia"/>
          <w:sz w:val="24"/>
          <w:szCs w:val="24"/>
          <w:u w:val="single"/>
        </w:rPr>
      </w:pPr>
      <w:r>
        <w:rPr>
          <w:rFonts w:asciiTheme="minorHAnsi" w:hAnsiTheme="minorHAnsi" w:eastAsiaTheme="minorEastAsia"/>
          <w:sz w:val="24"/>
          <w:szCs w:val="24"/>
        </w:rPr>
        <w:t>bilješke s predavanja, kao i ogledna ispitna pitanja</w:t>
      </w:r>
      <w:r>
        <w:rPr>
          <w:rFonts w:hint="default" w:asciiTheme="minorHAnsi" w:hAnsiTheme="minorHAnsi" w:eastAsiaTheme="minorEastAsia"/>
          <w:sz w:val="24"/>
          <w:szCs w:val="24"/>
          <w:lang w:val="hr-HR"/>
        </w:rPr>
        <w:t xml:space="preserve"> koja će</w:t>
      </w:r>
      <w:r>
        <w:rPr>
          <w:rFonts w:asciiTheme="minorHAnsi" w:hAnsiTheme="minorHAnsi" w:eastAsiaTheme="minorEastAsia"/>
          <w:sz w:val="24"/>
          <w:szCs w:val="24"/>
        </w:rPr>
        <w:t xml:space="preserve"> polaznici dobiti mailom </w:t>
      </w:r>
      <w:r>
        <w:rPr>
          <w:rFonts w:asciiTheme="minorHAnsi" w:hAnsiTheme="minorHAnsi" w:eastAsiaTheme="minorEastAsia"/>
          <w:sz w:val="24"/>
          <w:szCs w:val="24"/>
          <w:u w:val="single"/>
        </w:rPr>
        <w:t>(dovoljno za polaganje ispita).</w:t>
      </w:r>
    </w:p>
    <w:p w14:paraId="5713C17C">
      <w:pPr>
        <w:pStyle w:val="10"/>
        <w:spacing w:after="240"/>
        <w:ind w:left="714"/>
        <w:rPr>
          <w:rFonts w:asciiTheme="minorHAnsi" w:hAnsiTheme="minorHAnsi" w:eastAsiaTheme="minorEastAsia"/>
          <w:sz w:val="24"/>
          <w:szCs w:val="24"/>
        </w:rPr>
      </w:pPr>
    </w:p>
    <w:p w14:paraId="586197B7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Za one koji žele znati više ili im je potrebno dodatno objašnjenje:</w:t>
      </w:r>
    </w:p>
    <w:p w14:paraId="0FD11A97">
      <w:pPr>
        <w:pStyle w:val="10"/>
        <w:numPr>
          <w:ilvl w:val="0"/>
          <w:numId w:val="4"/>
        </w:numPr>
        <w:ind w:left="300" w:leftChars="0"/>
        <w:rPr>
          <w:rFonts w:asciiTheme="minorHAnsi" w:hAnsiTheme="minorHAnsi" w:eastAsiaTheme="minorEastAsia"/>
          <w:sz w:val="24"/>
          <w:szCs w:val="24"/>
        </w:rPr>
      </w:pPr>
      <w:r>
        <w:rPr>
          <w:rFonts w:asciiTheme="minorHAnsi" w:hAnsiTheme="minorHAnsi" w:eastAsiaTheme="minorEastAsia"/>
          <w:sz w:val="24"/>
          <w:szCs w:val="24"/>
        </w:rPr>
        <w:t>Vizek Vidović, V., Vlahović., Štetić, V., Rijavec, M. i Miljković, D. (2003). Psihologija obrazovanja. IEP-VERN.</w:t>
      </w:r>
    </w:p>
    <w:p w14:paraId="63F5CCFF">
      <w:pPr>
        <w:pStyle w:val="10"/>
        <w:numPr>
          <w:ilvl w:val="0"/>
          <w:numId w:val="4"/>
        </w:numPr>
        <w:ind w:left="300" w:leftChars="0"/>
        <w:rPr>
          <w:rFonts w:asciiTheme="minorHAnsi" w:hAnsiTheme="minorHAnsi" w:eastAsiaTheme="minorEastAsia"/>
          <w:sz w:val="24"/>
          <w:szCs w:val="24"/>
        </w:rPr>
      </w:pPr>
      <w:r>
        <w:rPr>
          <w:rFonts w:asciiTheme="minorHAnsi" w:hAnsiTheme="minorHAnsi" w:eastAsiaTheme="minorEastAsia"/>
          <w:sz w:val="24"/>
          <w:szCs w:val="24"/>
        </w:rPr>
        <w:t>Sternberg, R. J. i Williams, W. M. (2002). Educational  psychology. Allyn &amp; Bacon.</w:t>
      </w:r>
    </w:p>
    <w:p w14:paraId="67C6510A">
      <w:pPr>
        <w:pStyle w:val="10"/>
        <w:numPr>
          <w:ilvl w:val="0"/>
          <w:numId w:val="4"/>
        </w:numPr>
        <w:ind w:left="300" w:leftChars="0"/>
        <w:rPr>
          <w:rFonts w:asciiTheme="minorHAnsi" w:hAnsiTheme="minorHAnsi" w:eastAsiaTheme="minorEastAsia"/>
          <w:sz w:val="24"/>
          <w:szCs w:val="24"/>
        </w:rPr>
      </w:pPr>
      <w:r>
        <w:rPr>
          <w:rFonts w:asciiTheme="minorHAnsi" w:hAnsiTheme="minorHAnsi" w:eastAsiaTheme="minorEastAsia"/>
          <w:sz w:val="24"/>
          <w:szCs w:val="24"/>
        </w:rPr>
        <w:t>Woolfolk, A. (2007). Educational Psychology. Allyn &amp; Bacon.</w:t>
      </w:r>
    </w:p>
    <w:p w14:paraId="272BB661">
      <w:pPr>
        <w:pStyle w:val="10"/>
        <w:numPr>
          <w:ilvl w:val="0"/>
          <w:numId w:val="4"/>
        </w:numPr>
        <w:ind w:left="300" w:leftChars="0"/>
        <w:rPr>
          <w:rFonts w:asciiTheme="minorHAnsi" w:hAnsiTheme="minorHAnsi" w:eastAsiaTheme="minorEastAsia"/>
          <w:sz w:val="24"/>
          <w:szCs w:val="24"/>
        </w:rPr>
      </w:pPr>
      <w:r>
        <w:rPr>
          <w:rFonts w:asciiTheme="minorHAnsi" w:hAnsiTheme="minorHAnsi" w:eastAsiaTheme="minorEastAsia"/>
          <w:sz w:val="24"/>
          <w:szCs w:val="24"/>
        </w:rPr>
        <w:t>Reeve, J. (2010). Razumijevanje motivacije i emocija. Naklada Slap.</w:t>
      </w:r>
    </w:p>
    <w:p w14:paraId="64D856AF">
      <w:pPr>
        <w:pStyle w:val="10"/>
        <w:numPr>
          <w:ilvl w:val="0"/>
          <w:numId w:val="4"/>
        </w:numPr>
        <w:ind w:left="300" w:leftChars="0"/>
        <w:rPr>
          <w:rFonts w:asciiTheme="minorHAnsi" w:hAnsiTheme="minorHAnsi" w:eastAsiaTheme="minorEastAsia"/>
          <w:sz w:val="28"/>
          <w:szCs w:val="28"/>
        </w:rPr>
      </w:pPr>
      <w:r>
        <w:rPr>
          <w:rFonts w:asciiTheme="minorHAnsi" w:hAnsiTheme="minorHAnsi" w:eastAsiaTheme="minorEastAsia"/>
          <w:sz w:val="24"/>
          <w:szCs w:val="24"/>
        </w:rPr>
        <w:t>Sternberg, R. J. (2005). Kognitivna psihologija.  Naklada Slap.</w:t>
      </w:r>
    </w:p>
    <w:p w14:paraId="3E1FD6E2">
      <w:pPr>
        <w:rPr>
          <w:rFonts w:eastAsiaTheme="minorEastAsia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NimbusRomNo9L">
    <w:altName w:val="Calibri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626BD97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20" w:type="dxa"/>
        </w:tcPr>
        <w:p w14:paraId="103D3369">
          <w:pPr>
            <w:pStyle w:val="5"/>
            <w:ind w:left="-115"/>
          </w:pPr>
        </w:p>
      </w:tc>
      <w:tc>
        <w:tcPr>
          <w:tcW w:w="3020" w:type="dxa"/>
        </w:tcPr>
        <w:p w14:paraId="31820CE0">
          <w:pPr>
            <w:pStyle w:val="5"/>
            <w:jc w:val="center"/>
          </w:pPr>
        </w:p>
      </w:tc>
      <w:tc>
        <w:tcPr>
          <w:tcW w:w="3020" w:type="dxa"/>
        </w:tcPr>
        <w:p w14:paraId="3DF9C1EC">
          <w:pPr>
            <w:pStyle w:val="5"/>
            <w:ind w:right="-115"/>
            <w:jc w:val="right"/>
          </w:pPr>
        </w:p>
      </w:tc>
    </w:tr>
  </w:tbl>
  <w:p w14:paraId="4E57210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6B09C">
    <w:pPr>
      <w:pStyle w:val="5"/>
      <w:rPr>
        <w:i/>
        <w:iCs/>
        <w:sz w:val="28"/>
        <w:szCs w:val="28"/>
      </w:rPr>
    </w:pPr>
    <w:r>
      <w:rPr>
        <w:rFonts w:hint="default"/>
        <w:i/>
        <w:iCs/>
        <w:sz w:val="24"/>
        <w:szCs w:val="24"/>
        <w:lang w:val="hr-HR"/>
      </w:rPr>
      <w:t>PPDMN_</w:t>
    </w:r>
    <w:r>
      <w:rPr>
        <w:i/>
        <w:iCs/>
        <w:sz w:val="24"/>
        <w:szCs w:val="24"/>
      </w:rPr>
      <w:t>Pedagoška psihologija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70380"/>
    <w:multiLevelType w:val="multilevel"/>
    <w:tmpl w:val="15D70380"/>
    <w:lvl w:ilvl="0" w:tentative="0">
      <w:start w:val="1"/>
      <w:numFmt w:val="bullet"/>
      <w:lvlText w:val=""/>
      <w:lvlJc w:val="left"/>
      <w:pPr>
        <w:tabs>
          <w:tab w:val="left" w:pos="-420"/>
        </w:tabs>
        <w:ind w:left="3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hint="default" w:ascii="Wingdings" w:hAnsi="Wingdings"/>
      </w:rPr>
    </w:lvl>
  </w:abstractNum>
  <w:abstractNum w:abstractNumId="1">
    <w:nsid w:val="4FC7590E"/>
    <w:multiLevelType w:val="multilevel"/>
    <w:tmpl w:val="4FC7590E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54623CE"/>
    <w:multiLevelType w:val="multilevel"/>
    <w:tmpl w:val="554623CE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689314DB"/>
    <w:multiLevelType w:val="multilevel"/>
    <w:tmpl w:val="689314DB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AA"/>
    <w:rsid w:val="00156EC0"/>
    <w:rsid w:val="00201C0D"/>
    <w:rsid w:val="002201DC"/>
    <w:rsid w:val="00234BCF"/>
    <w:rsid w:val="002468F2"/>
    <w:rsid w:val="00405CAA"/>
    <w:rsid w:val="00461550"/>
    <w:rsid w:val="004648A5"/>
    <w:rsid w:val="004D2908"/>
    <w:rsid w:val="00562735"/>
    <w:rsid w:val="00844D64"/>
    <w:rsid w:val="008876BC"/>
    <w:rsid w:val="00894BCD"/>
    <w:rsid w:val="0099159A"/>
    <w:rsid w:val="00A42895"/>
    <w:rsid w:val="00A73AF9"/>
    <w:rsid w:val="00A95D32"/>
    <w:rsid w:val="00AC3B14"/>
    <w:rsid w:val="00B4436A"/>
    <w:rsid w:val="00BC0B1D"/>
    <w:rsid w:val="00BF6C64"/>
    <w:rsid w:val="00C64A4C"/>
    <w:rsid w:val="00E34669"/>
    <w:rsid w:val="00ED61AD"/>
    <w:rsid w:val="0198CC9F"/>
    <w:rsid w:val="06CE3C91"/>
    <w:rsid w:val="08C67404"/>
    <w:rsid w:val="08DEFBC3"/>
    <w:rsid w:val="0A19AE84"/>
    <w:rsid w:val="0A3A9844"/>
    <w:rsid w:val="0C68674B"/>
    <w:rsid w:val="0D48CB45"/>
    <w:rsid w:val="0F1B0EB5"/>
    <w:rsid w:val="103BE070"/>
    <w:rsid w:val="13E20DF0"/>
    <w:rsid w:val="16774CC9"/>
    <w:rsid w:val="16F0D901"/>
    <w:rsid w:val="1777FA8D"/>
    <w:rsid w:val="1E8C8D2D"/>
    <w:rsid w:val="21123B04"/>
    <w:rsid w:val="249E5DED"/>
    <w:rsid w:val="2B10FDD7"/>
    <w:rsid w:val="2D387706"/>
    <w:rsid w:val="300F5A7F"/>
    <w:rsid w:val="30E6D7AF"/>
    <w:rsid w:val="31981DB5"/>
    <w:rsid w:val="36AE812B"/>
    <w:rsid w:val="3967B663"/>
    <w:rsid w:val="3B5758BE"/>
    <w:rsid w:val="3D41FD7C"/>
    <w:rsid w:val="3DE47900"/>
    <w:rsid w:val="3E37BD6E"/>
    <w:rsid w:val="40E575EB"/>
    <w:rsid w:val="412A7BF0"/>
    <w:rsid w:val="48040D4F"/>
    <w:rsid w:val="4CC953F0"/>
    <w:rsid w:val="4F3F62A8"/>
    <w:rsid w:val="5072AA27"/>
    <w:rsid w:val="529749D5"/>
    <w:rsid w:val="531FDAAD"/>
    <w:rsid w:val="578AA9CE"/>
    <w:rsid w:val="58687CC4"/>
    <w:rsid w:val="5A807952"/>
    <w:rsid w:val="5BC41BDE"/>
    <w:rsid w:val="5CC02A15"/>
    <w:rsid w:val="5E9E7DEF"/>
    <w:rsid w:val="5FCB17DC"/>
    <w:rsid w:val="628BD059"/>
    <w:rsid w:val="650713A6"/>
    <w:rsid w:val="6698EF46"/>
    <w:rsid w:val="6F126D16"/>
    <w:rsid w:val="6F31E9E7"/>
    <w:rsid w:val="727A258C"/>
    <w:rsid w:val="789FD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Zaglavlje Char"/>
    <w:basedOn w:val="2"/>
    <w:link w:val="5"/>
    <w:uiPriority w:val="99"/>
  </w:style>
  <w:style w:type="character" w:customStyle="1" w:styleId="9">
    <w:name w:val="Podnožje Char"/>
    <w:basedOn w:val="2"/>
    <w:link w:val="4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ascii="NimbusRomNo9L" w:hAnsi="NimbusRomNo9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1979</Characters>
  <Lines>16</Lines>
  <Paragraphs>4</Paragraphs>
  <TotalTime>7</TotalTime>
  <ScaleCrop>false</ScaleCrop>
  <LinksUpToDate>false</LinksUpToDate>
  <CharactersWithSpaces>2322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2022-04-29T14:01:00Z</dcterms:created>
  <dc:creator>Dora Korać</dc:creator>
  <cp:lastModifiedBy>Dora Korać</cp:lastModifiedBy>
  <dcterms:modified xsi:type="dcterms:W3CDTF">2025-09-18T06:52:07Z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56764DEDF9134B129A9868E5BFC1242C_12</vt:lpwstr>
  </property>
</Properties>
</file>